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65ADD" w14:textId="77777777" w:rsidR="00BD07D7" w:rsidRDefault="00000000">
      <w:pPr>
        <w:spacing w:before="1" w:after="216"/>
        <w:ind w:left="1056" w:right="1090"/>
        <w:jc w:val="center"/>
      </w:pPr>
      <w:r>
        <w:rPr>
          <w:noProof/>
        </w:rPr>
        <w:drawing>
          <wp:inline distT="0" distB="0" distL="0" distR="0" wp14:anchorId="0729E939" wp14:editId="5E4355F6">
            <wp:extent cx="4580890" cy="658495"/>
            <wp:effectExtent l="0" t="0" r="0" b="0"/>
            <wp:docPr id="1" name="pic" descr="student government association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" descr="student government association logo 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8B18A" w14:textId="77777777" w:rsidR="00BD07D7" w:rsidRDefault="00000000" w:rsidP="00D52AA3">
      <w:pPr>
        <w:pStyle w:val="Heading1"/>
        <w:rPr>
          <w:w w:val="105"/>
        </w:rPr>
      </w:pPr>
      <w:r>
        <w:rPr>
          <w:w w:val="105"/>
        </w:rPr>
        <w:t>Green Procurement for Student Fee-Funded Events Policy</w:t>
      </w:r>
    </w:p>
    <w:p w14:paraId="68CFF27E" w14:textId="77777777" w:rsidR="00BD07D7" w:rsidRDefault="00000000">
      <w:pPr>
        <w:spacing w:before="144" w:line="230" w:lineRule="exact"/>
        <w:jc w:val="center"/>
        <w:rPr>
          <w:rFonts w:ascii="Times New Roman" w:hAnsi="Times New Roman"/>
          <w:b/>
          <w:color w:val="050505"/>
          <w:spacing w:val="-4"/>
          <w:w w:val="105"/>
          <w:sz w:val="24"/>
        </w:rPr>
      </w:pPr>
      <w:r>
        <w:rPr>
          <w:rFonts w:ascii="Times New Roman" w:hAnsi="Times New Roman"/>
          <w:b/>
          <w:color w:val="050505"/>
          <w:spacing w:val="-4"/>
          <w:w w:val="105"/>
          <w:sz w:val="24"/>
        </w:rPr>
        <w:t>Last Revised: 3/18/20</w:t>
      </w:r>
    </w:p>
    <w:p w14:paraId="0C96B341" w14:textId="77777777" w:rsidR="00BD07D7" w:rsidRDefault="00000000" w:rsidP="00D52AA3">
      <w:pPr>
        <w:pStyle w:val="Heading2"/>
        <w:rPr>
          <w:w w:val="105"/>
        </w:rPr>
      </w:pPr>
      <w:r>
        <w:rPr>
          <w:w w:val="105"/>
        </w:rPr>
        <w:t>Article I: Purpose</w:t>
      </w:r>
    </w:p>
    <w:p w14:paraId="0C67722C" w14:textId="77777777" w:rsidR="00BD07D7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381" w:lineRule="exact"/>
        <w:ind w:left="792" w:right="144" w:hanging="360"/>
        <w:jc w:val="both"/>
        <w:rPr>
          <w:rFonts w:ascii="Times New Roman" w:hAnsi="Times New Roman"/>
          <w:color w:val="050505"/>
          <w:spacing w:val="-11"/>
          <w:w w:val="105"/>
          <w:sz w:val="24"/>
        </w:rPr>
      </w:pPr>
      <w:r>
        <w:rPr>
          <w:rFonts w:ascii="Times New Roman" w:hAnsi="Times New Roman"/>
          <w:color w:val="050505"/>
          <w:spacing w:val="-11"/>
          <w:w w:val="105"/>
          <w:sz w:val="24"/>
        </w:rPr>
        <w:t xml:space="preserve">The University of Colorado Denver Student Government Association (CU Denver SGA) </w:t>
      </w:r>
      <w:r>
        <w:rPr>
          <w:rFonts w:ascii="Times New Roman" w:hAnsi="Times New Roman"/>
          <w:color w:val="050505"/>
          <w:spacing w:val="-10"/>
          <w:w w:val="105"/>
          <w:sz w:val="24"/>
        </w:rPr>
        <w:t xml:space="preserve">recognizes that student fee-funded events are significant sources of the consumption and </w:t>
      </w:r>
      <w:r>
        <w:rPr>
          <w:rFonts w:ascii="Times New Roman" w:hAnsi="Times New Roman"/>
          <w:color w:val="050505"/>
          <w:spacing w:val="-8"/>
          <w:w w:val="105"/>
          <w:sz w:val="24"/>
        </w:rPr>
        <w:t xml:space="preserve">purchasing of goods and services. Each of these goods has an environmental impact as a </w:t>
      </w:r>
      <w:r>
        <w:rPr>
          <w:rFonts w:ascii="Times New Roman" w:hAnsi="Times New Roman"/>
          <w:color w:val="050505"/>
          <w:spacing w:val="-4"/>
          <w:w w:val="105"/>
          <w:sz w:val="24"/>
        </w:rPr>
        <w:t>result of the product’s manufacture, delivery, use, and disposition.</w:t>
      </w:r>
    </w:p>
    <w:p w14:paraId="7793C63E" w14:textId="77777777" w:rsidR="00BD07D7" w:rsidRDefault="00000000">
      <w:pPr>
        <w:numPr>
          <w:ilvl w:val="0"/>
          <w:numId w:val="1"/>
        </w:numPr>
        <w:tabs>
          <w:tab w:val="clear" w:pos="360"/>
          <w:tab w:val="decimal" w:pos="792"/>
        </w:tabs>
        <w:spacing w:before="144" w:line="371" w:lineRule="exact"/>
        <w:ind w:left="792" w:right="504" w:hanging="360"/>
        <w:rPr>
          <w:rFonts w:ascii="Times New Roman" w:hAnsi="Times New Roman"/>
          <w:color w:val="050505"/>
          <w:spacing w:val="-6"/>
          <w:w w:val="105"/>
          <w:sz w:val="24"/>
        </w:rPr>
      </w:pPr>
      <w:r>
        <w:rPr>
          <w:rFonts w:ascii="Times New Roman" w:hAnsi="Times New Roman"/>
          <w:color w:val="050505"/>
          <w:spacing w:val="-6"/>
          <w:w w:val="105"/>
          <w:sz w:val="24"/>
        </w:rPr>
        <w:t xml:space="preserve">The purpose of this policy is to set a standard of sustainable and environmentally </w:t>
      </w:r>
      <w:r>
        <w:rPr>
          <w:rFonts w:ascii="Times New Roman" w:hAnsi="Times New Roman"/>
          <w:color w:val="050505"/>
          <w:spacing w:val="-10"/>
          <w:w w:val="105"/>
          <w:sz w:val="24"/>
        </w:rPr>
        <w:t xml:space="preserve">preferable procurement to demonstrate the University of Colorado Denver’s Student </w:t>
      </w:r>
      <w:r>
        <w:rPr>
          <w:rFonts w:ascii="Times New Roman" w:hAnsi="Times New Roman"/>
          <w:color w:val="050505"/>
          <w:spacing w:val="-5"/>
          <w:w w:val="105"/>
          <w:sz w:val="24"/>
        </w:rPr>
        <w:t>Government Association (SGA) commitment to environmental stewardship.</w:t>
      </w:r>
    </w:p>
    <w:p w14:paraId="7B292491" w14:textId="77777777" w:rsidR="00BD07D7" w:rsidRDefault="00000000" w:rsidP="00D52AA3">
      <w:pPr>
        <w:pStyle w:val="Heading2"/>
        <w:rPr>
          <w:w w:val="105"/>
        </w:rPr>
      </w:pPr>
      <w:r>
        <w:rPr>
          <w:w w:val="105"/>
        </w:rPr>
        <w:t>Article II: Definitions</w:t>
      </w:r>
    </w:p>
    <w:p w14:paraId="746CCC2E" w14:textId="77777777" w:rsidR="00BD07D7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144" w:line="369" w:lineRule="exact"/>
        <w:ind w:left="792" w:hanging="360"/>
        <w:rPr>
          <w:rFonts w:ascii="Times New Roman" w:hAnsi="Times New Roman"/>
          <w:color w:val="050505"/>
          <w:spacing w:val="-5"/>
          <w:w w:val="105"/>
          <w:sz w:val="24"/>
        </w:rPr>
      </w:pPr>
      <w:r>
        <w:rPr>
          <w:rFonts w:ascii="Times New Roman" w:hAnsi="Times New Roman"/>
          <w:color w:val="050505"/>
          <w:spacing w:val="-5"/>
          <w:w w:val="105"/>
          <w:sz w:val="24"/>
        </w:rPr>
        <w:t xml:space="preserve">Environmentally Preferable Products (EPP) are products or services with a reduced effect on human health or the environment when compared with products or services that serve </w:t>
      </w:r>
      <w:r>
        <w:rPr>
          <w:rFonts w:ascii="Times New Roman" w:hAnsi="Times New Roman"/>
          <w:color w:val="050505"/>
          <w:spacing w:val="-6"/>
          <w:w w:val="105"/>
          <w:sz w:val="24"/>
        </w:rPr>
        <w:t>the same purpose.</w:t>
      </w:r>
    </w:p>
    <w:p w14:paraId="0CE1E425" w14:textId="77777777" w:rsidR="00BD07D7" w:rsidRDefault="00000000">
      <w:pPr>
        <w:numPr>
          <w:ilvl w:val="0"/>
          <w:numId w:val="2"/>
        </w:numPr>
        <w:tabs>
          <w:tab w:val="clear" w:pos="360"/>
          <w:tab w:val="decimal" w:pos="792"/>
        </w:tabs>
        <w:spacing w:before="108" w:line="368" w:lineRule="exact"/>
        <w:ind w:left="792" w:right="72" w:hanging="360"/>
        <w:rPr>
          <w:rFonts w:ascii="Times New Roman" w:hAnsi="Times New Roman"/>
          <w:color w:val="050505"/>
          <w:spacing w:val="-7"/>
          <w:w w:val="105"/>
          <w:sz w:val="24"/>
        </w:rPr>
      </w:pPr>
      <w:r>
        <w:rPr>
          <w:rFonts w:ascii="Times New Roman" w:hAnsi="Times New Roman"/>
          <w:color w:val="050505"/>
          <w:spacing w:val="-7"/>
          <w:w w:val="105"/>
          <w:sz w:val="24"/>
        </w:rPr>
        <w:t xml:space="preserve">Sustainable products are products that have reduced environmental impact because of the </w:t>
      </w:r>
      <w:r>
        <w:rPr>
          <w:rFonts w:ascii="Times New Roman" w:hAnsi="Times New Roman"/>
          <w:color w:val="050505"/>
          <w:spacing w:val="-3"/>
          <w:w w:val="105"/>
          <w:sz w:val="24"/>
        </w:rPr>
        <w:t xml:space="preserve">way they are made, used, transported, stored, packaged and disposed of. When determining whether a product is sustainable, the following standards should be </w:t>
      </w:r>
      <w:r>
        <w:rPr>
          <w:rFonts w:ascii="Times New Roman" w:hAnsi="Times New Roman"/>
          <w:color w:val="050505"/>
          <w:spacing w:val="-6"/>
          <w:w w:val="105"/>
          <w:sz w:val="24"/>
        </w:rPr>
        <w:t>considered:</w:t>
      </w:r>
    </w:p>
    <w:p w14:paraId="50FA146A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44" w:line="235" w:lineRule="exact"/>
        <w:ind w:left="1152"/>
        <w:rPr>
          <w:rFonts w:ascii="Times New Roman" w:hAnsi="Times New Roman"/>
          <w:color w:val="050505"/>
          <w:spacing w:val="18"/>
          <w:w w:val="105"/>
          <w:sz w:val="24"/>
        </w:rPr>
      </w:pPr>
      <w:r>
        <w:rPr>
          <w:rFonts w:ascii="Times New Roman" w:hAnsi="Times New Roman"/>
          <w:color w:val="050505"/>
          <w:spacing w:val="18"/>
          <w:w w:val="105"/>
          <w:sz w:val="24"/>
        </w:rPr>
        <w:t>Biobased</w:t>
      </w:r>
    </w:p>
    <w:p w14:paraId="24EE1075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44" w:line="282" w:lineRule="exact"/>
        <w:ind w:left="1152"/>
        <w:rPr>
          <w:rFonts w:ascii="Times New Roman" w:hAnsi="Times New Roman"/>
          <w:color w:val="050505"/>
          <w:spacing w:val="20"/>
          <w:w w:val="105"/>
          <w:sz w:val="24"/>
        </w:rPr>
      </w:pPr>
      <w:r>
        <w:rPr>
          <w:rFonts w:ascii="Times New Roman" w:hAnsi="Times New Roman"/>
          <w:color w:val="050505"/>
          <w:spacing w:val="20"/>
          <w:w w:val="105"/>
          <w:sz w:val="24"/>
        </w:rPr>
        <w:t>Biodegradable</w:t>
      </w:r>
    </w:p>
    <w:p w14:paraId="5BFA2C33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83" w:lineRule="exact"/>
        <w:ind w:left="1152"/>
        <w:rPr>
          <w:rFonts w:ascii="Times New Roman" w:hAnsi="Times New Roman"/>
          <w:color w:val="050505"/>
          <w:spacing w:val="18"/>
          <w:w w:val="105"/>
          <w:sz w:val="24"/>
        </w:rPr>
      </w:pPr>
      <w:r>
        <w:rPr>
          <w:rFonts w:ascii="Times New Roman" w:hAnsi="Times New Roman"/>
          <w:color w:val="050505"/>
          <w:spacing w:val="18"/>
          <w:w w:val="105"/>
          <w:sz w:val="24"/>
        </w:rPr>
        <w:t>Carcinogen-free</w:t>
      </w:r>
    </w:p>
    <w:p w14:paraId="277E763F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44" w:line="288" w:lineRule="exact"/>
        <w:ind w:left="1152"/>
        <w:rPr>
          <w:rFonts w:ascii="Times New Roman" w:hAnsi="Times New Roman"/>
          <w:color w:val="050505"/>
          <w:spacing w:val="12"/>
          <w:w w:val="105"/>
          <w:sz w:val="24"/>
        </w:rPr>
      </w:pPr>
      <w:r>
        <w:rPr>
          <w:rFonts w:ascii="Times New Roman" w:hAnsi="Times New Roman"/>
          <w:color w:val="050505"/>
          <w:spacing w:val="12"/>
          <w:w w:val="105"/>
          <w:sz w:val="24"/>
        </w:rPr>
        <w:t>Heavy material free</w:t>
      </w:r>
    </w:p>
    <w:p w14:paraId="398B20EF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83" w:lineRule="exact"/>
        <w:ind w:left="1152"/>
        <w:rPr>
          <w:rFonts w:ascii="Times New Roman" w:hAnsi="Times New Roman"/>
          <w:color w:val="050505"/>
          <w:spacing w:val="10"/>
          <w:w w:val="105"/>
          <w:sz w:val="24"/>
        </w:rPr>
      </w:pPr>
      <w:r>
        <w:rPr>
          <w:rFonts w:ascii="Times New Roman" w:hAnsi="Times New Roman"/>
          <w:color w:val="050505"/>
          <w:spacing w:val="10"/>
          <w:w w:val="105"/>
          <w:sz w:val="24"/>
        </w:rPr>
        <w:t>Compostable</w:t>
      </w:r>
    </w:p>
    <w:p w14:paraId="297B46B2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87" w:lineRule="exact"/>
        <w:ind w:left="1152"/>
        <w:rPr>
          <w:rFonts w:ascii="Times New Roman" w:hAnsi="Times New Roman"/>
          <w:color w:val="050505"/>
          <w:spacing w:val="14"/>
          <w:w w:val="105"/>
          <w:sz w:val="24"/>
        </w:rPr>
      </w:pPr>
      <w:r>
        <w:rPr>
          <w:rFonts w:ascii="Times New Roman" w:hAnsi="Times New Roman"/>
          <w:color w:val="050505"/>
          <w:spacing w:val="14"/>
          <w:w w:val="105"/>
          <w:sz w:val="24"/>
        </w:rPr>
        <w:t>Recycled toxicity</w:t>
      </w:r>
    </w:p>
    <w:p w14:paraId="7953D448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78" w:lineRule="exact"/>
        <w:ind w:left="1152"/>
        <w:rPr>
          <w:rFonts w:ascii="Times New Roman" w:hAnsi="Times New Roman"/>
          <w:color w:val="050505"/>
          <w:spacing w:val="10"/>
          <w:w w:val="105"/>
          <w:sz w:val="24"/>
        </w:rPr>
      </w:pPr>
      <w:r>
        <w:rPr>
          <w:rFonts w:ascii="Times New Roman" w:hAnsi="Times New Roman"/>
          <w:color w:val="050505"/>
          <w:spacing w:val="10"/>
          <w:w w:val="105"/>
          <w:sz w:val="24"/>
        </w:rPr>
        <w:t>Rechargeable</w:t>
      </w:r>
    </w:p>
    <w:p w14:paraId="2003C226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08" w:line="283" w:lineRule="exact"/>
        <w:ind w:left="1152"/>
        <w:rPr>
          <w:rFonts w:ascii="Times New Roman" w:hAnsi="Times New Roman"/>
          <w:color w:val="050505"/>
          <w:spacing w:val="14"/>
          <w:w w:val="105"/>
          <w:sz w:val="24"/>
        </w:rPr>
      </w:pPr>
      <w:r>
        <w:rPr>
          <w:rFonts w:ascii="Times New Roman" w:hAnsi="Times New Roman"/>
          <w:color w:val="050505"/>
          <w:spacing w:val="14"/>
          <w:w w:val="105"/>
          <w:sz w:val="24"/>
        </w:rPr>
        <w:t>Reduced packaging</w:t>
      </w:r>
    </w:p>
    <w:p w14:paraId="4B3BE62C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44" w:line="235" w:lineRule="exact"/>
        <w:ind w:left="1152"/>
        <w:rPr>
          <w:rFonts w:ascii="Times New Roman" w:hAnsi="Times New Roman"/>
          <w:color w:val="050505"/>
          <w:spacing w:val="10"/>
          <w:w w:val="105"/>
          <w:sz w:val="24"/>
        </w:rPr>
      </w:pPr>
      <w:r>
        <w:rPr>
          <w:rFonts w:ascii="Times New Roman" w:hAnsi="Times New Roman"/>
          <w:color w:val="050505"/>
          <w:spacing w:val="10"/>
          <w:w w:val="105"/>
          <w:sz w:val="24"/>
        </w:rPr>
        <w:t>Reusable or refurbished</w:t>
      </w:r>
    </w:p>
    <w:p w14:paraId="53FA12EE" w14:textId="77777777" w:rsidR="00BD07D7" w:rsidRDefault="00000000">
      <w:pPr>
        <w:numPr>
          <w:ilvl w:val="0"/>
          <w:numId w:val="3"/>
        </w:numPr>
        <w:tabs>
          <w:tab w:val="clear" w:pos="360"/>
          <w:tab w:val="decimal" w:pos="1512"/>
        </w:tabs>
        <w:spacing w:before="144" w:line="244" w:lineRule="auto"/>
        <w:ind w:left="1152"/>
        <w:rPr>
          <w:rFonts w:ascii="Times New Roman" w:hAnsi="Times New Roman"/>
          <w:color w:val="050505"/>
          <w:spacing w:val="6"/>
          <w:w w:val="105"/>
          <w:sz w:val="24"/>
        </w:rPr>
      </w:pPr>
      <w:r>
        <w:rPr>
          <w:rFonts w:ascii="Times New Roman" w:hAnsi="Times New Roman"/>
          <w:color w:val="050505"/>
          <w:spacing w:val="6"/>
          <w:w w:val="105"/>
          <w:sz w:val="24"/>
        </w:rPr>
        <w:t>Reduced greenhouse gas emission</w:t>
      </w:r>
    </w:p>
    <w:p w14:paraId="3BB51259" w14:textId="77777777" w:rsidR="00BD07D7" w:rsidRDefault="00BD07D7">
      <w:pPr>
        <w:sectPr w:rsidR="00BD07D7">
          <w:pgSz w:w="12240" w:h="15840"/>
          <w:pgMar w:top="1416" w:right="1403" w:bottom="1174" w:left="1417" w:header="720" w:footer="720" w:gutter="0"/>
          <w:cols w:space="720"/>
        </w:sectPr>
      </w:pPr>
    </w:p>
    <w:p w14:paraId="2C8DAAAA" w14:textId="77777777" w:rsidR="00BD07D7" w:rsidRDefault="00000000">
      <w:pPr>
        <w:spacing w:line="282" w:lineRule="exact"/>
        <w:ind w:left="1080"/>
        <w:rPr>
          <w:rFonts w:ascii="Times New Roman" w:hAnsi="Times New Roman"/>
          <w:color w:val="000000"/>
          <w:spacing w:val="-1"/>
          <w:w w:val="105"/>
          <w:sz w:val="24"/>
        </w:rPr>
      </w:pPr>
      <w:r>
        <w:rPr>
          <w:rFonts w:ascii="Times New Roman" w:hAnsi="Times New Roman"/>
          <w:color w:val="000000"/>
          <w:spacing w:val="-1"/>
          <w:w w:val="105"/>
          <w:sz w:val="24"/>
        </w:rPr>
        <w:lastRenderedPageBreak/>
        <w:t>k. Energy, resource and water efficient</w:t>
      </w:r>
    </w:p>
    <w:p w14:paraId="51D8F66D" w14:textId="77777777" w:rsidR="00BD07D7" w:rsidRDefault="00000000">
      <w:pPr>
        <w:spacing w:before="108" w:line="283" w:lineRule="exact"/>
        <w:ind w:left="36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C. Swag items</w:t>
      </w:r>
    </w:p>
    <w:p w14:paraId="0B72960F" w14:textId="77777777" w:rsidR="00BD07D7" w:rsidRDefault="00000000">
      <w:pPr>
        <w:spacing w:before="108" w:line="369" w:lineRule="exact"/>
        <w:ind w:left="1440" w:right="72" w:hanging="360"/>
        <w:rPr>
          <w:rFonts w:ascii="Times New Roman" w:hAnsi="Times New Roman"/>
          <w:color w:val="000000"/>
          <w:spacing w:val="-2"/>
          <w:w w:val="105"/>
          <w:sz w:val="24"/>
        </w:rPr>
      </w:pPr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a. Swag items are materials purchased for a group or organization that are 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4"/>
        </w:rPr>
        <w:t>given</w:t>
      </w:r>
      <w:proofErr w:type="gramEnd"/>
      <w:r>
        <w:rPr>
          <w:rFonts w:ascii="Times New Roman" w:hAnsi="Times New Roman"/>
          <w:color w:val="000000"/>
          <w:spacing w:val="-2"/>
          <w:w w:val="105"/>
          <w:sz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students, faculty, or staff to bring more awareness about the group (i.e. pens, hats,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shirts, backpacks, etc.).</w:t>
      </w:r>
    </w:p>
    <w:p w14:paraId="45F3647D" w14:textId="77777777" w:rsidR="00BD07D7" w:rsidRDefault="00000000" w:rsidP="00D52AA3">
      <w:pPr>
        <w:pStyle w:val="Heading2"/>
        <w:rPr>
          <w:w w:val="105"/>
        </w:rPr>
      </w:pPr>
      <w:r>
        <w:rPr>
          <w:w w:val="105"/>
        </w:rPr>
        <w:t>Article III: Who Must Comply</w:t>
      </w:r>
    </w:p>
    <w:p w14:paraId="2562DB3D" w14:textId="77777777" w:rsidR="00BD07D7" w:rsidRDefault="00000000">
      <w:pPr>
        <w:spacing w:before="108" w:line="348" w:lineRule="exact"/>
        <w:ind w:left="1080" w:right="648" w:hanging="360"/>
        <w:rPr>
          <w:rFonts w:ascii="Times New Roman" w:hAnsi="Times New Roman"/>
          <w:color w:val="000000"/>
          <w:spacing w:val="-8"/>
          <w:w w:val="105"/>
          <w:sz w:val="24"/>
        </w:rPr>
      </w:pPr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A. Student Organizations and Student Government who </w:t>
      </w:r>
      <w:proofErr w:type="gramStart"/>
      <w:r>
        <w:rPr>
          <w:rFonts w:ascii="Times New Roman" w:hAnsi="Times New Roman"/>
          <w:color w:val="000000"/>
          <w:spacing w:val="-8"/>
          <w:w w:val="105"/>
          <w:sz w:val="24"/>
        </w:rPr>
        <w:t>uses</w:t>
      </w:r>
      <w:proofErr w:type="gramEnd"/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 student fee money to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provide events to the students.</w:t>
      </w:r>
    </w:p>
    <w:p w14:paraId="5C81861B" w14:textId="77777777" w:rsidR="00BD07D7" w:rsidRDefault="00000000" w:rsidP="00D52AA3">
      <w:pPr>
        <w:pStyle w:val="Heading2"/>
        <w:rPr>
          <w:w w:val="105"/>
        </w:rPr>
      </w:pPr>
      <w:r>
        <w:rPr>
          <w:w w:val="105"/>
        </w:rPr>
        <w:t>Article IV: Policy Statement</w:t>
      </w:r>
    </w:p>
    <w:p w14:paraId="70029691" w14:textId="77777777" w:rsidR="00BD07D7" w:rsidRDefault="00000000">
      <w:pPr>
        <w:spacing w:before="108" w:line="350" w:lineRule="exact"/>
        <w:ind w:left="720" w:right="144" w:hanging="360"/>
        <w:rPr>
          <w:rFonts w:ascii="Times New Roman" w:hAnsi="Times New Roman"/>
          <w:color w:val="000000"/>
          <w:spacing w:val="-7"/>
          <w:w w:val="105"/>
          <w:sz w:val="24"/>
        </w:rPr>
      </w:pP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A. The Finance and Funding Committee will review all expenditures throughout the year to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ensure they are pursuant of the CU Denver fiscal policy and this policy.</w:t>
      </w:r>
    </w:p>
    <w:p w14:paraId="2E5733EF" w14:textId="77777777" w:rsidR="00BD07D7" w:rsidRDefault="00000000">
      <w:pPr>
        <w:spacing w:before="108" w:line="347" w:lineRule="exact"/>
        <w:ind w:left="720" w:right="72" w:hanging="360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B. Student-Fee funded events must follow the proper procedures in purchasing materials for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their events. Items looking to purchase must follow these guidelines:</w:t>
      </w:r>
    </w:p>
    <w:p w14:paraId="62702A05" w14:textId="77777777" w:rsidR="00BD07D7" w:rsidRDefault="00000000">
      <w:pPr>
        <w:spacing w:before="108" w:line="235" w:lineRule="exact"/>
        <w:ind w:left="108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a. Bio-based Products</w:t>
      </w:r>
    </w:p>
    <w:p w14:paraId="0408E5A0" w14:textId="77777777" w:rsidR="00BD07D7" w:rsidRDefault="00000000">
      <w:pPr>
        <w:numPr>
          <w:ilvl w:val="0"/>
          <w:numId w:val="4"/>
        </w:numPr>
        <w:tabs>
          <w:tab w:val="clear" w:pos="432"/>
          <w:tab w:val="decimal" w:pos="2232"/>
        </w:tabs>
        <w:spacing w:before="144" w:line="350" w:lineRule="exact"/>
        <w:ind w:left="2232" w:right="144" w:hanging="432"/>
        <w:rPr>
          <w:rFonts w:ascii="Times New Roman" w:hAnsi="Times New Roman"/>
          <w:color w:val="000000"/>
          <w:spacing w:val="-6"/>
          <w:w w:val="105"/>
          <w:sz w:val="24"/>
        </w:rPr>
      </w:pP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Purchasing of bio-based, bioplastic, or biodegradable single-use products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is mandatory. This includes bags, cutlery, plate ware, and beverage cups.</w:t>
      </w:r>
    </w:p>
    <w:p w14:paraId="645DDC80" w14:textId="77777777" w:rsidR="00BD07D7" w:rsidRDefault="00000000">
      <w:pPr>
        <w:numPr>
          <w:ilvl w:val="0"/>
          <w:numId w:val="4"/>
        </w:numPr>
        <w:tabs>
          <w:tab w:val="clear" w:pos="432"/>
          <w:tab w:val="decimal" w:pos="2232"/>
        </w:tabs>
        <w:spacing w:before="144" w:line="347" w:lineRule="exact"/>
        <w:ind w:left="2232" w:right="144" w:hanging="432"/>
        <w:rPr>
          <w:rFonts w:ascii="Times New Roman" w:hAnsi="Times New Roman"/>
          <w:color w:val="000000"/>
          <w:spacing w:val="-10"/>
          <w:w w:val="105"/>
          <w:sz w:val="24"/>
        </w:rPr>
      </w:pPr>
      <w:r>
        <w:rPr>
          <w:rFonts w:ascii="Times New Roman" w:hAnsi="Times New Roman"/>
          <w:color w:val="000000"/>
          <w:spacing w:val="-10"/>
          <w:w w:val="105"/>
          <w:sz w:val="24"/>
        </w:rPr>
        <w:t xml:space="preserve">Compostable plastic products shall meet the American Society of Testing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Materials (ASTM) standards as found in ASTM D6400-04</w:t>
      </w:r>
    </w:p>
    <w:p w14:paraId="7FE10F3C" w14:textId="77777777" w:rsidR="00BD07D7" w:rsidRDefault="00000000">
      <w:pPr>
        <w:numPr>
          <w:ilvl w:val="0"/>
          <w:numId w:val="4"/>
        </w:numPr>
        <w:tabs>
          <w:tab w:val="clear" w:pos="432"/>
          <w:tab w:val="decimal" w:pos="2232"/>
        </w:tabs>
        <w:spacing w:before="108" w:line="350" w:lineRule="exact"/>
        <w:ind w:left="2232" w:right="432" w:hanging="432"/>
        <w:rPr>
          <w:rFonts w:ascii="Times New Roman" w:hAnsi="Times New Roman"/>
          <w:color w:val="000000"/>
          <w:spacing w:val="-10"/>
          <w:w w:val="105"/>
          <w:sz w:val="24"/>
        </w:rPr>
      </w:pPr>
      <w:r>
        <w:rPr>
          <w:rFonts w:ascii="Times New Roman" w:hAnsi="Times New Roman"/>
          <w:color w:val="000000"/>
          <w:spacing w:val="-10"/>
          <w:w w:val="105"/>
          <w:sz w:val="24"/>
        </w:rPr>
        <w:t>Paper products and construction products made from non-wood, plant-</w:t>
      </w:r>
      <w:r>
        <w:rPr>
          <w:rFonts w:ascii="Times New Roman" w:hAnsi="Times New Roman"/>
          <w:color w:val="000000"/>
          <w:spacing w:val="-6"/>
          <w:w w:val="105"/>
          <w:sz w:val="24"/>
        </w:rPr>
        <w:t>based contents such as agricultural crops and residues are encouraged.</w:t>
      </w:r>
    </w:p>
    <w:p w14:paraId="781270D9" w14:textId="77777777" w:rsidR="00BD07D7" w:rsidRDefault="00000000">
      <w:pPr>
        <w:spacing w:before="108" w:line="282" w:lineRule="exact"/>
        <w:ind w:left="108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b. Swag Items</w:t>
      </w:r>
    </w:p>
    <w:p w14:paraId="76801F01" w14:textId="77777777" w:rsidR="00BD07D7" w:rsidRDefault="00000000">
      <w:pPr>
        <w:spacing w:before="108" w:line="348" w:lineRule="exact"/>
        <w:ind w:left="2160" w:right="576" w:hanging="288"/>
        <w:rPr>
          <w:rFonts w:ascii="Times New Roman" w:hAnsi="Times New Roman"/>
          <w:color w:val="000000"/>
          <w:spacing w:val="-5"/>
          <w:w w:val="105"/>
          <w:sz w:val="24"/>
        </w:rPr>
      </w:pP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</w:rPr>
        <w:t>i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</w:rPr>
        <w:t xml:space="preserve">. Recommend purchasing ethical “swag” items from the Sustainable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>Compliant Vendor List provided by the Auraria Sustainable Campus</w:t>
      </w:r>
    </w:p>
    <w:p w14:paraId="2C32520A" w14:textId="77777777" w:rsidR="00BD07D7" w:rsidRDefault="00000000">
      <w:pPr>
        <w:spacing w:before="108" w:line="283" w:lineRule="exact"/>
        <w:ind w:left="2160"/>
        <w:rPr>
          <w:rFonts w:ascii="Times New Roman" w:hAnsi="Times New Roman"/>
          <w:color w:val="000000"/>
          <w:spacing w:val="-5"/>
          <w:w w:val="105"/>
          <w:sz w:val="24"/>
        </w:rPr>
      </w:pPr>
      <w:r>
        <w:rPr>
          <w:rFonts w:ascii="Times New Roman" w:hAnsi="Times New Roman"/>
          <w:color w:val="000000"/>
          <w:spacing w:val="-5"/>
          <w:w w:val="105"/>
          <w:sz w:val="24"/>
        </w:rPr>
        <w:t>Program (ASCP) subcommittee is highly encouraged.</w:t>
      </w:r>
    </w:p>
    <w:p w14:paraId="21821A08" w14:textId="77777777" w:rsidR="00BD07D7" w:rsidRDefault="00000000">
      <w:pPr>
        <w:spacing w:before="144" w:line="282" w:lineRule="exact"/>
        <w:ind w:left="108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c. Compostable-compliant Vendors</w:t>
      </w:r>
    </w:p>
    <w:p w14:paraId="172D7AED" w14:textId="77777777" w:rsidR="00BD07D7" w:rsidRDefault="00000000">
      <w:pPr>
        <w:numPr>
          <w:ilvl w:val="0"/>
          <w:numId w:val="5"/>
        </w:numPr>
        <w:tabs>
          <w:tab w:val="clear" w:pos="360"/>
          <w:tab w:val="decimal" w:pos="2232"/>
        </w:tabs>
        <w:spacing w:before="108" w:line="350" w:lineRule="exact"/>
        <w:ind w:left="2232" w:right="72" w:hanging="360"/>
        <w:rPr>
          <w:rFonts w:ascii="Times New Roman" w:hAnsi="Times New Roman"/>
          <w:color w:val="000000"/>
          <w:spacing w:val="-7"/>
          <w:w w:val="105"/>
          <w:sz w:val="24"/>
        </w:rPr>
      </w:pPr>
      <w:r>
        <w:rPr>
          <w:rFonts w:ascii="Times New Roman" w:hAnsi="Times New Roman"/>
          <w:color w:val="000000"/>
          <w:spacing w:val="-7"/>
          <w:w w:val="105"/>
          <w:sz w:val="24"/>
        </w:rPr>
        <w:t xml:space="preserve">Requesting that vendors do not provide single-use products as listed above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to events is mandatory.</w:t>
      </w:r>
    </w:p>
    <w:p w14:paraId="46D19DA7" w14:textId="77777777" w:rsidR="00BD07D7" w:rsidRDefault="00000000">
      <w:pPr>
        <w:numPr>
          <w:ilvl w:val="0"/>
          <w:numId w:val="5"/>
        </w:numPr>
        <w:tabs>
          <w:tab w:val="clear" w:pos="360"/>
          <w:tab w:val="decimal" w:pos="2232"/>
        </w:tabs>
        <w:spacing w:before="108" w:line="347" w:lineRule="exact"/>
        <w:ind w:left="2232" w:right="216" w:hanging="360"/>
        <w:rPr>
          <w:rFonts w:ascii="Times New Roman" w:hAnsi="Times New Roman"/>
          <w:color w:val="000000"/>
          <w:spacing w:val="-8"/>
          <w:w w:val="105"/>
          <w:sz w:val="24"/>
        </w:rPr>
      </w:pPr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The ASCP has made a Sustainable Vendors List and using vendors from </w:t>
      </w:r>
      <w:r>
        <w:rPr>
          <w:rFonts w:ascii="Times New Roman" w:hAnsi="Times New Roman"/>
          <w:color w:val="000000"/>
          <w:spacing w:val="-5"/>
          <w:w w:val="105"/>
          <w:sz w:val="24"/>
        </w:rPr>
        <w:t>this list is highly encouraged.</w:t>
      </w:r>
    </w:p>
    <w:p w14:paraId="7299FB69" w14:textId="77777777" w:rsidR="00BD07D7" w:rsidRDefault="00000000">
      <w:pPr>
        <w:spacing w:before="108" w:line="266" w:lineRule="exact"/>
        <w:ind w:left="1080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d. Food</w:t>
      </w:r>
    </w:p>
    <w:p w14:paraId="184EF2FE" w14:textId="77777777" w:rsidR="00BD07D7" w:rsidRDefault="00BD07D7">
      <w:pPr>
        <w:sectPr w:rsidR="00BD07D7">
          <w:pgSz w:w="12240" w:h="15840"/>
          <w:pgMar w:top="1480" w:right="1420" w:bottom="1770" w:left="1400" w:header="720" w:footer="720" w:gutter="0"/>
          <w:cols w:space="720"/>
        </w:sectPr>
      </w:pPr>
    </w:p>
    <w:p w14:paraId="27CCB9E4" w14:textId="77777777" w:rsidR="00BD07D7" w:rsidRDefault="00000000">
      <w:pPr>
        <w:spacing w:line="372" w:lineRule="exact"/>
        <w:ind w:left="2304" w:right="144" w:hanging="288"/>
        <w:rPr>
          <w:rFonts w:ascii="Calibri" w:hAnsi="Calibri"/>
          <w:color w:val="000000"/>
          <w:spacing w:val="-6"/>
          <w:sz w:val="24"/>
        </w:rPr>
      </w:pPr>
      <w:proofErr w:type="spellStart"/>
      <w:r>
        <w:rPr>
          <w:rFonts w:ascii="Calibri" w:hAnsi="Calibri"/>
          <w:color w:val="000000"/>
          <w:spacing w:val="-6"/>
          <w:sz w:val="24"/>
        </w:rPr>
        <w:lastRenderedPageBreak/>
        <w:t>i</w:t>
      </w:r>
      <w:proofErr w:type="spellEnd"/>
      <w:r>
        <w:rPr>
          <w:rFonts w:ascii="Calibri" w:hAnsi="Calibri"/>
          <w:color w:val="000000"/>
          <w:spacing w:val="-6"/>
          <w:sz w:val="24"/>
        </w:rPr>
        <w:t xml:space="preserve">. </w:t>
      </w:r>
      <w:r>
        <w:rPr>
          <w:rFonts w:ascii="Times New Roman" w:hAnsi="Times New Roman"/>
          <w:color w:val="000000"/>
          <w:spacing w:val="-6"/>
          <w:w w:val="105"/>
          <w:sz w:val="24"/>
        </w:rPr>
        <w:t xml:space="preserve">Leftover food items shall be reported through the “Share Meals” phone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application for pick-up to be taken to the Tri-Institutional Food Distribution</w:t>
      </w:r>
      <w:r>
        <w:rPr>
          <w:rFonts w:ascii="Calibri" w:hAnsi="Calibri"/>
          <w:color w:val="000000"/>
          <w:spacing w:val="-4"/>
          <w:sz w:val="24"/>
        </w:rPr>
        <w:t>.</w:t>
      </w:r>
    </w:p>
    <w:p w14:paraId="74041B78" w14:textId="77777777" w:rsidR="00BD07D7" w:rsidRDefault="00000000" w:rsidP="00D52AA3">
      <w:pPr>
        <w:pStyle w:val="Heading2"/>
        <w:rPr>
          <w:w w:val="105"/>
        </w:rPr>
      </w:pPr>
      <w:r>
        <w:rPr>
          <w:w w:val="105"/>
        </w:rPr>
        <w:t>Article V. Budget Process</w:t>
      </w:r>
    </w:p>
    <w:p w14:paraId="5C9EBAE9" w14:textId="77777777" w:rsidR="00BD07D7" w:rsidRDefault="00000000">
      <w:pPr>
        <w:spacing w:before="108" w:line="235" w:lineRule="exact"/>
        <w:ind w:left="504"/>
        <w:rPr>
          <w:rFonts w:ascii="Times New Roman" w:hAnsi="Times New Roman"/>
          <w:color w:val="000000"/>
          <w:w w:val="105"/>
          <w:sz w:val="24"/>
        </w:rPr>
      </w:pPr>
      <w:r>
        <w:rPr>
          <w:rFonts w:ascii="Times New Roman" w:hAnsi="Times New Roman"/>
          <w:color w:val="000000"/>
          <w:w w:val="105"/>
          <w:sz w:val="24"/>
        </w:rPr>
        <w:t>A. Do we need this?</w:t>
      </w:r>
    </w:p>
    <w:p w14:paraId="50756146" w14:textId="77777777" w:rsidR="00BD07D7" w:rsidRDefault="00000000" w:rsidP="00D52AA3">
      <w:pPr>
        <w:pStyle w:val="Heading2"/>
        <w:rPr>
          <w:w w:val="105"/>
        </w:rPr>
      </w:pPr>
      <w:r>
        <w:rPr>
          <w:w w:val="105"/>
        </w:rPr>
        <w:t>Article VI. Amendments and Adoption of Bylaws</w:t>
      </w:r>
    </w:p>
    <w:p w14:paraId="42219219" w14:textId="77777777" w:rsidR="00BD07D7" w:rsidRDefault="00000000">
      <w:pPr>
        <w:numPr>
          <w:ilvl w:val="0"/>
          <w:numId w:val="6"/>
        </w:numPr>
        <w:tabs>
          <w:tab w:val="clear" w:pos="432"/>
          <w:tab w:val="decimal" w:pos="1368"/>
        </w:tabs>
        <w:spacing w:before="108" w:line="326" w:lineRule="exact"/>
        <w:ind w:left="1368" w:right="144" w:hanging="432"/>
        <w:rPr>
          <w:rFonts w:ascii="Times New Roman" w:hAnsi="Times New Roman"/>
          <w:color w:val="000000"/>
          <w:spacing w:val="-8"/>
          <w:w w:val="105"/>
          <w:sz w:val="24"/>
        </w:rPr>
      </w:pPr>
      <w:r>
        <w:rPr>
          <w:rFonts w:ascii="Times New Roman" w:hAnsi="Times New Roman"/>
          <w:color w:val="000000"/>
          <w:spacing w:val="-8"/>
          <w:w w:val="105"/>
          <w:sz w:val="24"/>
        </w:rPr>
        <w:t xml:space="preserve">Any amendments to these bylaws must be approved by a two-thirds (2/3) majority </w:t>
      </w:r>
      <w:r>
        <w:rPr>
          <w:rFonts w:ascii="Times New Roman" w:hAnsi="Times New Roman"/>
          <w:color w:val="000000"/>
          <w:spacing w:val="-4"/>
          <w:w w:val="105"/>
          <w:sz w:val="24"/>
        </w:rPr>
        <w:t>vote of the CU Denver SGA Senate.</w:t>
      </w:r>
    </w:p>
    <w:p w14:paraId="1CEE907E" w14:textId="77777777" w:rsidR="00BD07D7" w:rsidRDefault="00000000">
      <w:pPr>
        <w:numPr>
          <w:ilvl w:val="0"/>
          <w:numId w:val="6"/>
        </w:numPr>
        <w:tabs>
          <w:tab w:val="clear" w:pos="432"/>
          <w:tab w:val="decimal" w:pos="1368"/>
        </w:tabs>
        <w:spacing w:before="144" w:line="247" w:lineRule="auto"/>
        <w:ind w:left="1368" w:hanging="432"/>
        <w:rPr>
          <w:rFonts w:ascii="Times New Roman" w:hAnsi="Times New Roman"/>
          <w:color w:val="000000"/>
          <w:spacing w:val="1"/>
          <w:w w:val="105"/>
          <w:sz w:val="24"/>
        </w:rPr>
      </w:pPr>
      <w:r>
        <w:rPr>
          <w:rFonts w:ascii="Times New Roman" w:hAnsi="Times New Roman"/>
          <w:color w:val="000000"/>
          <w:spacing w:val="1"/>
          <w:w w:val="105"/>
          <w:sz w:val="24"/>
        </w:rPr>
        <w:t>Upon approval, amendments will go into effect immediately.</w:t>
      </w:r>
    </w:p>
    <w:sectPr w:rsidR="00BD07D7">
      <w:pgSz w:w="12240" w:h="15840"/>
      <w:pgMar w:top="1440" w:right="1592" w:bottom="10390" w:left="12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6E6F"/>
    <w:multiLevelType w:val="multilevel"/>
    <w:tmpl w:val="AC3CE942"/>
    <w:lvl w:ilvl="0">
      <w:start w:val="1"/>
      <w:numFmt w:val="upperLetter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E7668"/>
    <w:multiLevelType w:val="multilevel"/>
    <w:tmpl w:val="9056C4BA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50505"/>
        <w:spacing w:val="-11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679D6"/>
    <w:multiLevelType w:val="multilevel"/>
    <w:tmpl w:val="9F421624"/>
    <w:lvl w:ilvl="0">
      <w:start w:val="1"/>
      <w:numFmt w:val="upp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50505"/>
        <w:spacing w:val="-5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C37F6"/>
    <w:multiLevelType w:val="multilevel"/>
    <w:tmpl w:val="3F924BAC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50505"/>
        <w:spacing w:val="18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A6630"/>
    <w:multiLevelType w:val="multilevel"/>
    <w:tmpl w:val="FD5C3DCC"/>
    <w:lvl w:ilvl="0">
      <w:start w:val="1"/>
      <w:numFmt w:val="lowerRoman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0F46BB"/>
    <w:multiLevelType w:val="multilevel"/>
    <w:tmpl w:val="664611B6"/>
    <w:lvl w:ilvl="0">
      <w:start w:val="1"/>
      <w:numFmt w:val="low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902753">
    <w:abstractNumId w:val="1"/>
  </w:num>
  <w:num w:numId="2" w16cid:durableId="1578858932">
    <w:abstractNumId w:val="2"/>
  </w:num>
  <w:num w:numId="3" w16cid:durableId="1774208447">
    <w:abstractNumId w:val="3"/>
  </w:num>
  <w:num w:numId="4" w16cid:durableId="744956679">
    <w:abstractNumId w:val="4"/>
  </w:num>
  <w:num w:numId="5" w16cid:durableId="2007201288">
    <w:abstractNumId w:val="5"/>
  </w:num>
  <w:num w:numId="6" w16cid:durableId="114589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7D7"/>
    <w:rsid w:val="00AC34AB"/>
    <w:rsid w:val="00BD07D7"/>
    <w:rsid w:val="00D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8E3F"/>
  <w15:docId w15:val="{3EDBBD04-2F4D-4E4A-9DE3-8B846713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A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2AA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Hernandez, Amy</cp:lastModifiedBy>
  <cp:revision>2</cp:revision>
  <dcterms:created xsi:type="dcterms:W3CDTF">2024-07-15T16:48:00Z</dcterms:created>
  <dcterms:modified xsi:type="dcterms:W3CDTF">2024-07-15T16:49:00Z</dcterms:modified>
</cp:coreProperties>
</file>